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046DA" w14:textId="1CF76C12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E54B70" w:rsidRPr="008F786B">
        <w:rPr>
          <w:rFonts w:ascii="Arial" w:eastAsia="SimSun" w:hAnsi="Arial" w:cs="Times New Roman"/>
          <w:b/>
          <w:sz w:val="24"/>
          <w:szCs w:val="20"/>
        </w:rPr>
        <w:t>3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C303A" w:rsidRPr="009C303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R4-2501484</w:t>
      </w:r>
    </w:p>
    <w:bookmarkEnd w:id="0"/>
    <w:bookmarkEnd w:id="1"/>
    <w:p w14:paraId="04BB04DF" w14:textId="77777777" w:rsidR="00B26A8A" w:rsidRPr="00B26A8A" w:rsidRDefault="00B26A8A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B26A8A">
        <w:rPr>
          <w:rFonts w:ascii="Arial" w:eastAsia="SimSun" w:hAnsi="Arial" w:cs="Times New Roman"/>
          <w:b/>
          <w:sz w:val="24"/>
          <w:szCs w:val="20"/>
        </w:rPr>
        <w:t>Athens, Greece, Feb 17th – Feb 21st, 2025</w:t>
      </w:r>
    </w:p>
    <w:p w14:paraId="15B6932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83875EC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49109309" w14:textId="61F526A6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09458A">
        <w:rPr>
          <w:rFonts w:ascii="Arial" w:eastAsia="Calibri" w:hAnsi="Arial" w:cs="Arial"/>
          <w:b/>
          <w:bCs/>
          <w:sz w:val="24"/>
        </w:rPr>
        <w:t>On introducing requirements for CB-MSG3</w:t>
      </w:r>
      <w:r w:rsidR="00513482">
        <w:rPr>
          <w:rFonts w:ascii="Arial" w:eastAsia="Calibri" w:hAnsi="Arial" w:cs="Arial"/>
          <w:b/>
          <w:bCs/>
          <w:sz w:val="24"/>
        </w:rPr>
        <w:t xml:space="preserve"> in TS 36.133</w:t>
      </w:r>
    </w:p>
    <w:p w14:paraId="1BE591DE" w14:textId="6999FD31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09458A">
        <w:rPr>
          <w:rFonts w:ascii="Arial" w:eastAsia="MS Mincho" w:hAnsi="Arial" w:cs="Arial"/>
          <w:b/>
          <w:bCs/>
          <w:sz w:val="24"/>
          <w:szCs w:val="20"/>
        </w:rPr>
        <w:t>7.30.3</w:t>
      </w:r>
    </w:p>
    <w:p w14:paraId="5119C412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6483B8E2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C58A7D8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8AD9834" w14:textId="0A961EC0" w:rsidR="0009458A" w:rsidRDefault="0009458A" w:rsidP="0009458A">
      <w:r>
        <w:t xml:space="preserve">In RAN2 #126, RAN2 has reached agreements in the Rel-19 WI related to NB-IoT over NTN (IoT_NTN_Ph3-Core) to introduce the contention-based message 3 (CB-MSG3), where the UE skips the Msg1 and Msg2 in the </w:t>
      </w:r>
      <w:proofErr w:type="gramStart"/>
      <w:r>
        <w:t>Random Access</w:t>
      </w:r>
      <w:proofErr w:type="gramEnd"/>
      <w:r>
        <w:t xml:space="preserve"> procedure, for faster data dump. This was indicated by RAN2 in their LS to RAN4 (R2-2405769).</w:t>
      </w:r>
    </w:p>
    <w:p w14:paraId="288317CC" w14:textId="6615E14D" w:rsidR="0060543D" w:rsidRDefault="0009458A" w:rsidP="0009458A">
      <w:r>
        <w:t xml:space="preserve">RAN4 has initially provided its views on the matter </w:t>
      </w:r>
      <w:proofErr w:type="spellStart"/>
      <w:r>
        <w:t>analyzing</w:t>
      </w:r>
      <w:proofErr w:type="spellEnd"/>
      <w:r>
        <w:t xml:space="preserve"> the potential impacts on the timing requirements of such feature.</w:t>
      </w:r>
    </w:p>
    <w:p w14:paraId="3FF8F23E" w14:textId="2C935E34" w:rsidR="0009458A" w:rsidRPr="0009458A" w:rsidRDefault="0009458A" w:rsidP="0009458A">
      <w:pPr>
        <w:rPr>
          <w:lang w:val="en-US"/>
        </w:rPr>
      </w:pPr>
      <w:r>
        <w:t xml:space="preserve">The work has progressed in </w:t>
      </w:r>
      <w:proofErr w:type="gramStart"/>
      <w:r>
        <w:t>RAN2</w:t>
      </w:r>
      <w:proofErr w:type="gramEnd"/>
      <w:r>
        <w:t xml:space="preserve"> and several agreements were reached consolidating the feature. In this document we </w:t>
      </w:r>
      <w:proofErr w:type="spellStart"/>
      <w:r>
        <w:t>analyze</w:t>
      </w:r>
      <w:proofErr w:type="spellEnd"/>
      <w:r>
        <w:t xml:space="preserve"> the potential impact of these features in RAN4. </w:t>
      </w:r>
    </w:p>
    <w:p w14:paraId="4834A96D" w14:textId="77777777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0D5A7844" w14:textId="0DFCC36D" w:rsidR="00350BFD" w:rsidRPr="008F786B" w:rsidRDefault="0009458A" w:rsidP="00B66B7D">
      <w:r>
        <w:t xml:space="preserve">RAN2 has agreed upon the introduction of CB-MSG3 </w:t>
      </w:r>
      <w:r w:rsidR="00350BFD">
        <w:t>and has reached several agreements related to this feature (the list below is non-exhaustive and provide only a few examples of agreements reached by RAN2):</w:t>
      </w:r>
      <w:r w:rsidR="00350BFD"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50BFD" w14:paraId="4EE02711" w14:textId="77777777" w:rsidTr="00350BFD">
        <w:tc>
          <w:tcPr>
            <w:tcW w:w="9617" w:type="dxa"/>
          </w:tcPr>
          <w:p w14:paraId="13A12519" w14:textId="70FDDFAA" w:rsidR="00350BFD" w:rsidRDefault="00350BFD" w:rsidP="00350BFD">
            <w:pPr>
              <w:pStyle w:val="ListParagraph"/>
              <w:numPr>
                <w:ilvl w:val="0"/>
                <w:numId w:val="29"/>
              </w:numPr>
            </w:pPr>
            <w:r>
              <w:t>Only system Information is used to provide cell-specific CB-Msg3 PUSCH resources (FFS if anything is needed in dedicated signalling for the TA validation parameters, if needed, for the case of 15kHz SCS NB-IoT and eMTC CE mode B)</w:t>
            </w:r>
          </w:p>
          <w:p w14:paraId="3EFC4DC7" w14:textId="77777777" w:rsidR="00350BFD" w:rsidRDefault="00350BFD" w:rsidP="00B66B7D"/>
          <w:p w14:paraId="77D5CB79" w14:textId="77777777" w:rsidR="00350BFD" w:rsidRDefault="00350BFD" w:rsidP="00350BFD">
            <w:pPr>
              <w:pStyle w:val="ListParagraph"/>
              <w:numPr>
                <w:ilvl w:val="0"/>
                <w:numId w:val="29"/>
              </w:numPr>
            </w:pPr>
            <w:r w:rsidRPr="00350BFD">
              <w:rPr>
                <w:highlight w:val="cyan"/>
              </w:rPr>
              <w:t>There will be a RSRP threshold that determines whether CB-Msg3 can be used</w:t>
            </w:r>
            <w:r>
              <w:t xml:space="preserve"> (if the RSRP is below such threshold, PRACH will have to be used) (FFS if we need a separate set of thresholds, including a different minimum threshold, in case CB-msg3 EDT is combined with OCC)</w:t>
            </w:r>
          </w:p>
          <w:p w14:paraId="37939F3B" w14:textId="77777777" w:rsidR="00350BFD" w:rsidRDefault="00350BFD" w:rsidP="00350BFD"/>
          <w:p w14:paraId="540E4013" w14:textId="77777777" w:rsidR="00350BFD" w:rsidRDefault="00350BFD" w:rsidP="00350BFD">
            <w:pPr>
              <w:pStyle w:val="ListParagraph"/>
              <w:numPr>
                <w:ilvl w:val="0"/>
                <w:numId w:val="29"/>
              </w:numPr>
            </w:pPr>
            <w:r w:rsidRPr="00350BFD">
              <w:rPr>
                <w:highlight w:val="cyan"/>
              </w:rPr>
              <w:t>The UE stops the PDCCH monitoring window(s) once it receives a CB-msg4 containing a matching Contention Resolution Identity (FFS if there is no RRC message together with the CB-msg4)</w:t>
            </w:r>
          </w:p>
          <w:p w14:paraId="1E313695" w14:textId="77777777" w:rsidR="00350BFD" w:rsidRDefault="00350BFD" w:rsidP="00350BFD"/>
          <w:p w14:paraId="41BD004E" w14:textId="4831164C" w:rsidR="00350BFD" w:rsidRDefault="00350BFD" w:rsidP="00350BFD">
            <w:pPr>
              <w:pStyle w:val="ListParagraph"/>
              <w:numPr>
                <w:ilvl w:val="0"/>
                <w:numId w:val="29"/>
              </w:numPr>
            </w:pPr>
            <w:r>
              <w:t>Assuming that there will be scenarios where it’s possible to receive a CB-msg4 before the UE transmits some replicas, a UE stops transmitting the remaining replicas if it has received a CB-msg4 containing a matching Contention Resolution Identity (FFS if there is no RRC message together with the CB-msg4)</w:t>
            </w:r>
          </w:p>
          <w:p w14:paraId="67D79223" w14:textId="77777777" w:rsidR="00350BFD" w:rsidRDefault="00350BFD" w:rsidP="00350BFD"/>
          <w:p w14:paraId="6C939B46" w14:textId="77777777" w:rsidR="00350BFD" w:rsidRDefault="00350BFD" w:rsidP="00B66B7D"/>
          <w:p w14:paraId="26A624D8" w14:textId="75B8B241" w:rsidR="00350BFD" w:rsidRDefault="00350BFD" w:rsidP="00350BFD">
            <w:pPr>
              <w:pStyle w:val="ListParagraph"/>
              <w:numPr>
                <w:ilvl w:val="0"/>
                <w:numId w:val="29"/>
              </w:numPr>
            </w:pPr>
            <w:r w:rsidRPr="00350BFD">
              <w:rPr>
                <w:highlight w:val="cyan"/>
              </w:rPr>
              <w:t>Within the configured time window, the UE shall select randomly different time domain occasions for transmitting different replicas. And for each time domain occasion, the UE shall select randomly a frequency domain resource.</w:t>
            </w:r>
          </w:p>
        </w:tc>
      </w:tr>
    </w:tbl>
    <w:p w14:paraId="27549CE8" w14:textId="03B68D61" w:rsidR="00B66B7D" w:rsidRDefault="00B66B7D" w:rsidP="00B66B7D"/>
    <w:p w14:paraId="58A8C736" w14:textId="18C3E62F" w:rsidR="00350BFD" w:rsidRDefault="00350BFD" w:rsidP="00B66B7D">
      <w:r>
        <w:t xml:space="preserve">In special, the parts highlighted in blue indicate procedural changes on the UE, akin to the procedures described for the </w:t>
      </w:r>
      <w:proofErr w:type="gramStart"/>
      <w:r>
        <w:t>Random Access</w:t>
      </w:r>
      <w:proofErr w:type="gramEnd"/>
      <w:r>
        <w:t xml:space="preserve"> procedure (</w:t>
      </w:r>
      <w:r w:rsidR="00B15036">
        <w:t xml:space="preserve">Section 6.6A). When the full procedure is established in RAN2, RAN4 would need to provide specific requirements on the UE behaviour (RSRP thresholds, resource selection, fallback triggers, etc). </w:t>
      </w:r>
    </w:p>
    <w:p w14:paraId="0D394239" w14:textId="77EA0CE0" w:rsidR="00B15036" w:rsidRDefault="00B15036" w:rsidP="00B66B7D">
      <w:r>
        <w:t>Therefore, we propose to include the requirements for CB-MSG3 transmission in a new subclause of 6.6A</w:t>
      </w:r>
    </w:p>
    <w:p w14:paraId="4A0DBA45" w14:textId="550AB5F5" w:rsidR="00B15036" w:rsidRDefault="00B15036" w:rsidP="00B15036">
      <w:pPr>
        <w:pStyle w:val="RAN4proposal"/>
      </w:pPr>
      <w:bookmarkStart w:id="5" w:name="_Toc189674269"/>
      <w:r>
        <w:lastRenderedPageBreak/>
        <w:t>Include procedural requirements for CB-MSG3 transmission in a new subclause of 6.6A in TS36.133.</w:t>
      </w:r>
      <w:bookmarkEnd w:id="5"/>
      <w:r>
        <w:t xml:space="preserve"> </w:t>
      </w:r>
    </w:p>
    <w:p w14:paraId="77BF58FF" w14:textId="6788775D" w:rsidR="00B15036" w:rsidRDefault="00B15036" w:rsidP="00B15036">
      <w:r>
        <w:t>The suggested format would include:</w:t>
      </w:r>
    </w:p>
    <w:p w14:paraId="5CF71D70" w14:textId="77777777" w:rsidR="00632DB1" w:rsidRDefault="00B15036" w:rsidP="00B15036">
      <w:pPr>
        <w:pStyle w:val="ListParagraph"/>
        <w:numPr>
          <w:ilvl w:val="0"/>
          <w:numId w:val="30"/>
        </w:numPr>
      </w:pPr>
      <w:r>
        <w:t xml:space="preserve">UE </w:t>
      </w:r>
      <w:proofErr w:type="spellStart"/>
      <w:r>
        <w:t>behavior</w:t>
      </w:r>
      <w:proofErr w:type="spellEnd"/>
      <w:r>
        <w:t xml:space="preserve"> when contention resolution timer </w:t>
      </w:r>
      <w:proofErr w:type="gramStart"/>
      <w:r>
        <w:t>expires</w:t>
      </w:r>
      <w:r w:rsidR="00632DB1">
        <w:t>:</w:t>
      </w:r>
      <w:proofErr w:type="gramEnd"/>
      <w:r w:rsidR="00632DB1">
        <w:t xml:space="preserve"> whether the UE will select a new preamble depends on the new behaviour to be defined in RAN2. Another problem is that the transmission of a new PRACH after a failed contention based is now dependent upon the expiration of the backoff timer. However, the backoff timer is never initiated as the UE does not monitor for Msg2. </w:t>
      </w:r>
    </w:p>
    <w:p w14:paraId="6BD5B1EC" w14:textId="2C6BC1CE" w:rsidR="00632DB1" w:rsidRDefault="00632DB1" w:rsidP="00B15036">
      <w:pPr>
        <w:pStyle w:val="ListParagraph"/>
        <w:numPr>
          <w:ilvl w:val="0"/>
          <w:numId w:val="30"/>
        </w:numPr>
      </w:pPr>
      <w:r>
        <w:t xml:space="preserve">Updates on the </w:t>
      </w:r>
      <w:r w:rsidRPr="00632DB1">
        <w:t>Correct behaviour when receiving a message over Temporary C-RNTI</w:t>
      </w:r>
    </w:p>
    <w:p w14:paraId="05ABFA86" w14:textId="24627CE4" w:rsidR="0060543D" w:rsidRDefault="00632DB1" w:rsidP="00632DB1">
      <w:pPr>
        <w:pStyle w:val="ListParagraph"/>
        <w:numPr>
          <w:ilvl w:val="0"/>
          <w:numId w:val="30"/>
        </w:numPr>
      </w:pPr>
      <w:r>
        <w:t xml:space="preserve">Updates, if needed, on the PRACH transmission power when occurring as fallback from CB-MSG3 transmission. </w:t>
      </w:r>
    </w:p>
    <w:p w14:paraId="3F481217" w14:textId="77777777" w:rsidR="00632DB1" w:rsidRPr="008F786B" w:rsidRDefault="00632DB1" w:rsidP="00632DB1">
      <w:pPr>
        <w:pStyle w:val="ListParagraph"/>
      </w:pPr>
    </w:p>
    <w:p w14:paraId="31B6A240" w14:textId="77777777" w:rsidR="00893D2E" w:rsidRPr="008F786B" w:rsidRDefault="00893D2E">
      <w:pPr>
        <w:rPr>
          <w:rFonts w:ascii="Arial" w:eastAsia="SimSun" w:hAnsi="Arial" w:cs="Times New Roman"/>
          <w:sz w:val="36"/>
          <w:szCs w:val="20"/>
        </w:rPr>
      </w:pPr>
      <w:bookmarkStart w:id="6" w:name="_Toc116995848"/>
      <w:r w:rsidRPr="008F786B">
        <w:br w:type="page"/>
      </w:r>
    </w:p>
    <w:p w14:paraId="467B343C" w14:textId="77777777" w:rsidR="00CD7492" w:rsidRPr="008F786B" w:rsidRDefault="00CD7492" w:rsidP="00A37002">
      <w:pPr>
        <w:pStyle w:val="RAN4H1"/>
      </w:pPr>
      <w:r w:rsidRPr="008F786B">
        <w:lastRenderedPageBreak/>
        <w:t>Conclusion</w:t>
      </w:r>
      <w:bookmarkEnd w:id="6"/>
    </w:p>
    <w:p w14:paraId="7F8FCA78" w14:textId="6EC75561" w:rsidR="00381F95" w:rsidRPr="008F786B" w:rsidRDefault="00632DB1" w:rsidP="00936159">
      <w:r>
        <w:t xml:space="preserve">In this paper we </w:t>
      </w:r>
      <w:proofErr w:type="spellStart"/>
      <w:r>
        <w:t>analyzed</w:t>
      </w:r>
      <w:proofErr w:type="spellEnd"/>
      <w:r>
        <w:t xml:space="preserve"> the need for updates on the RAN4 requirements to introduce requirements related to CB-MSG3 feature and the following proposal was made:</w:t>
      </w:r>
    </w:p>
    <w:p w14:paraId="62FE5C58" w14:textId="51E578B5" w:rsidR="00632DB1" w:rsidRDefault="00632DB1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4"/>
          <w:szCs w:val="24"/>
          <w:u w:val="none"/>
          <w:lang w:val="en-US" w:eastAsia="zh-CN"/>
          <w14:ligatures w14:val="standardContextual"/>
        </w:rPr>
      </w:pPr>
      <w:r>
        <w:rPr>
          <w:b w:val="0"/>
          <w:iCs w:val="0"/>
        </w:rPr>
        <w:fldChar w:fldCharType="begin"/>
      </w:r>
      <w:r>
        <w:rPr>
          <w:b w:val="0"/>
          <w:iCs w:val="0"/>
        </w:rPr>
        <w:instrText xml:space="preserve"> TOC \n \h \z \t "RAN4 proposal,1,RAN4 observation,1" </w:instrText>
      </w:r>
      <w:r>
        <w:rPr>
          <w:b w:val="0"/>
          <w:iCs w:val="0"/>
        </w:rPr>
        <w:fldChar w:fldCharType="separate"/>
      </w:r>
      <w:hyperlink w:anchor="_Toc189674269" w:history="1">
        <w:r w:rsidRPr="00C14F06">
          <w:rPr>
            <w:rStyle w:val="Hyperlink"/>
          </w:rPr>
          <w:t>Proposal 1: Include procedural requirements for CB-MSG3 transmission in a new subclause of 6.6A in TS36.133.</w:t>
        </w:r>
      </w:hyperlink>
    </w:p>
    <w:p w14:paraId="4A575448" w14:textId="53299640" w:rsidR="00381F95" w:rsidRPr="008F786B" w:rsidRDefault="00632DB1" w:rsidP="00936159">
      <w:r>
        <w:rPr>
          <w:b/>
          <w:iCs/>
          <w:noProof/>
          <w:u w:val="single"/>
        </w:rPr>
        <w:fldChar w:fldCharType="end"/>
      </w:r>
    </w:p>
    <w:p w14:paraId="14880772" w14:textId="55D82D64" w:rsidR="00847264" w:rsidRPr="008F786B" w:rsidRDefault="00847264" w:rsidP="008C39F7">
      <w:bookmarkStart w:id="7" w:name="_Toc116995849"/>
    </w:p>
    <w:p w14:paraId="41925A2F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7"/>
    </w:p>
    <w:p w14:paraId="10EC903E" w14:textId="77777777" w:rsidR="00632DB1" w:rsidRPr="00AC5D82" w:rsidRDefault="00632DB1" w:rsidP="00632DB1">
      <w:pPr>
        <w:pStyle w:val="ListParagraph"/>
        <w:numPr>
          <w:ilvl w:val="0"/>
          <w:numId w:val="21"/>
        </w:numPr>
        <w:rPr>
          <w:lang w:val="en-US"/>
        </w:rPr>
      </w:pPr>
      <w:bookmarkStart w:id="8" w:name="_Ref114500673"/>
      <w:bookmarkStart w:id="9" w:name="_Ref173928979"/>
      <w:bookmarkEnd w:id="8"/>
      <w:r>
        <w:rPr>
          <w:lang w:val="en-US"/>
        </w:rPr>
        <w:t xml:space="preserve">R2-2405769, </w:t>
      </w:r>
      <w:r w:rsidRPr="006410A2">
        <w:rPr>
          <w:i/>
          <w:iCs/>
          <w:lang w:val="en-US"/>
        </w:rPr>
        <w:t>“LS on UL synchronization for contention based Msg3 transmission without Msg1/Msg2”</w:t>
      </w:r>
      <w:r>
        <w:rPr>
          <w:i/>
          <w:iCs/>
          <w:lang w:val="en-US"/>
        </w:rPr>
        <w:t xml:space="preserve">, </w:t>
      </w:r>
      <w:r>
        <w:rPr>
          <w:lang w:val="en-US"/>
        </w:rPr>
        <w:t>ZTE</w:t>
      </w:r>
      <w:r w:rsidRPr="00A246F7">
        <w:rPr>
          <w:lang w:val="en-US"/>
        </w:rPr>
        <w:t>, RAN</w:t>
      </w:r>
      <w:r>
        <w:rPr>
          <w:lang w:val="en-US"/>
        </w:rPr>
        <w:t>2</w:t>
      </w:r>
      <w:r w:rsidRPr="00A246F7">
        <w:rPr>
          <w:lang w:val="en-US"/>
        </w:rPr>
        <w:t>#1</w:t>
      </w:r>
      <w:r>
        <w:rPr>
          <w:lang w:val="en-US"/>
        </w:rPr>
        <w:t>26,</w:t>
      </w:r>
      <w:r w:rsidRPr="00A246F7">
        <w:rPr>
          <w:lang w:val="en-US"/>
        </w:rPr>
        <w:t xml:space="preserve"> </w:t>
      </w:r>
      <w:r>
        <w:rPr>
          <w:lang w:val="en-US"/>
        </w:rPr>
        <w:t>Fukuoka</w:t>
      </w:r>
      <w:r w:rsidRPr="00E82B94">
        <w:rPr>
          <w:lang w:val="en-US"/>
        </w:rPr>
        <w:t>, Japan, May 20 – May 24, 2024</w:t>
      </w:r>
      <w:r w:rsidRPr="00A246F7">
        <w:rPr>
          <w:lang w:val="en-US"/>
        </w:rPr>
        <w:t>.</w:t>
      </w:r>
      <w:bookmarkEnd w:id="9"/>
    </w:p>
    <w:p w14:paraId="5E665052" w14:textId="77777777" w:rsidR="00632DB1" w:rsidRDefault="00632DB1" w:rsidP="00632DB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0" w:name="_Ref178773552"/>
      <w:r>
        <w:rPr>
          <w:lang w:val="en-US"/>
        </w:rPr>
        <w:t>R4-2414114, “</w:t>
      </w:r>
      <w:r w:rsidRPr="001C5551">
        <w:rPr>
          <w:rFonts w:eastAsia="Nokia Pure Text Light" w:cs="Times New Roman" w:hint="eastAsia"/>
          <w:sz w:val="18"/>
        </w:rPr>
        <w:t>Reply LS to RAN2 on UL synchronization for contention based Msg3 transmission without Msg1/Msg2</w:t>
      </w:r>
      <w:r>
        <w:rPr>
          <w:lang w:val="en-US"/>
        </w:rPr>
        <w:t>”,</w:t>
      </w:r>
      <w:bookmarkEnd w:id="10"/>
      <w:r>
        <w:rPr>
          <w:lang w:val="en-US"/>
        </w:rPr>
        <w:t xml:space="preserve"> </w:t>
      </w:r>
    </w:p>
    <w:p w14:paraId="162443AA" w14:textId="77777777" w:rsidR="00632DB1" w:rsidRPr="00AC5D82" w:rsidRDefault="00632DB1" w:rsidP="00632DB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1" w:name="_Ref178773315"/>
      <w:r>
        <w:t>R1-2407548 “</w:t>
      </w:r>
      <w:r w:rsidRPr="00AC5D82">
        <w:t>Reply LS to RAN2 on UL synchronization for contention based Msg3 transmission without Msg1/Msg2</w:t>
      </w:r>
      <w:r>
        <w:t xml:space="preserve">”, ZTE, RAN1 #118, </w:t>
      </w:r>
      <w:r w:rsidRPr="00AC5D82">
        <w:t>Maastricht, NL, August 19th – 23rd, 2024</w:t>
      </w:r>
      <w:bookmarkEnd w:id="11"/>
    </w:p>
    <w:p w14:paraId="08449D7D" w14:textId="77777777" w:rsidR="00632DB1" w:rsidRDefault="00632DB1" w:rsidP="00632DB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>
        <w:rPr>
          <w:lang w:val="en-US"/>
        </w:rPr>
        <w:t>TS 36.133 “</w:t>
      </w:r>
      <w:r w:rsidRPr="00DE6394">
        <w:t>Evolved Universal Terrestrial Radio Access (E-UTRA); Requirements for support of radio resource management</w:t>
      </w:r>
      <w:r>
        <w:t>”, 3GPP, Release 18.6.0</w:t>
      </w:r>
    </w:p>
    <w:p w14:paraId="4B5A77E3" w14:textId="77777777" w:rsidR="00632DB1" w:rsidRPr="00AC5D82" w:rsidRDefault="00632DB1" w:rsidP="00632DB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>
        <w:rPr>
          <w:lang w:val="en-US"/>
        </w:rPr>
        <w:t>TS 36.211 “</w:t>
      </w:r>
      <w:r w:rsidRPr="00A25D8E">
        <w:t>Evolved Universal Terrestrial Radio Access (E-UTRA); Physical channels and modulation</w:t>
      </w:r>
      <w:r>
        <w:t>”, 3GPP, Release 18.6.0</w:t>
      </w:r>
    </w:p>
    <w:p w14:paraId="03D232D7" w14:textId="77777777" w:rsidR="00E82B94" w:rsidRPr="008F786B" w:rsidRDefault="00E82B94" w:rsidP="00E82B94">
      <w:pPr>
        <w:pStyle w:val="ListParagraph"/>
        <w:ind w:right="-22"/>
      </w:pPr>
    </w:p>
    <w:p w14:paraId="1959B833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DA9BD" w14:textId="77777777" w:rsidR="00823946" w:rsidRDefault="00823946" w:rsidP="00001C9B">
      <w:pPr>
        <w:spacing w:after="0" w:line="240" w:lineRule="auto"/>
      </w:pPr>
      <w:r>
        <w:separator/>
      </w:r>
    </w:p>
  </w:endnote>
  <w:endnote w:type="continuationSeparator" w:id="0">
    <w:p w14:paraId="5CFF85CD" w14:textId="77777777" w:rsidR="00823946" w:rsidRDefault="0082394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7375A" w14:textId="77777777" w:rsidR="00823946" w:rsidRDefault="00823946" w:rsidP="00001C9B">
      <w:pPr>
        <w:spacing w:after="0" w:line="240" w:lineRule="auto"/>
      </w:pPr>
      <w:r>
        <w:separator/>
      </w:r>
    </w:p>
  </w:footnote>
  <w:footnote w:type="continuationSeparator" w:id="0">
    <w:p w14:paraId="32BD865F" w14:textId="77777777" w:rsidR="00823946" w:rsidRDefault="0082394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E559D5"/>
    <w:multiLevelType w:val="hybridMultilevel"/>
    <w:tmpl w:val="F462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272519"/>
    <w:multiLevelType w:val="hybridMultilevel"/>
    <w:tmpl w:val="E3F6F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7"/>
  </w:num>
  <w:num w:numId="28" w16cid:durableId="2095668156">
    <w:abstractNumId w:val="3"/>
  </w:num>
  <w:num w:numId="29" w16cid:durableId="2014988557">
    <w:abstractNumId w:val="10"/>
  </w:num>
  <w:num w:numId="30" w16cid:durableId="2015571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87617"/>
    <w:rsid w:val="00001C9B"/>
    <w:rsid w:val="000040DC"/>
    <w:rsid w:val="00011784"/>
    <w:rsid w:val="000151EF"/>
    <w:rsid w:val="000239F5"/>
    <w:rsid w:val="000646BC"/>
    <w:rsid w:val="00072CCA"/>
    <w:rsid w:val="0007601C"/>
    <w:rsid w:val="00081544"/>
    <w:rsid w:val="0008612A"/>
    <w:rsid w:val="00090E18"/>
    <w:rsid w:val="0009458A"/>
    <w:rsid w:val="000A10B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6379"/>
    <w:rsid w:val="00217EE5"/>
    <w:rsid w:val="0023559D"/>
    <w:rsid w:val="00235F5C"/>
    <w:rsid w:val="0024235F"/>
    <w:rsid w:val="002433E2"/>
    <w:rsid w:val="00257FA3"/>
    <w:rsid w:val="00277B56"/>
    <w:rsid w:val="00282A74"/>
    <w:rsid w:val="002849D4"/>
    <w:rsid w:val="00287617"/>
    <w:rsid w:val="00295E70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06C89"/>
    <w:rsid w:val="00307EE8"/>
    <w:rsid w:val="00317187"/>
    <w:rsid w:val="0032499A"/>
    <w:rsid w:val="003341F7"/>
    <w:rsid w:val="00347FEC"/>
    <w:rsid w:val="003509DF"/>
    <w:rsid w:val="00350BFD"/>
    <w:rsid w:val="00356F45"/>
    <w:rsid w:val="00366B74"/>
    <w:rsid w:val="003774C0"/>
    <w:rsid w:val="00381F95"/>
    <w:rsid w:val="003A710A"/>
    <w:rsid w:val="003B659E"/>
    <w:rsid w:val="003C275E"/>
    <w:rsid w:val="003C4FDE"/>
    <w:rsid w:val="003E58DF"/>
    <w:rsid w:val="003F7007"/>
    <w:rsid w:val="00404C4C"/>
    <w:rsid w:val="0041423F"/>
    <w:rsid w:val="00414F81"/>
    <w:rsid w:val="00426B9A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13482"/>
    <w:rsid w:val="00514E4F"/>
    <w:rsid w:val="00521576"/>
    <w:rsid w:val="00524CBA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32DB1"/>
    <w:rsid w:val="0064171D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701D91"/>
    <w:rsid w:val="007145FF"/>
    <w:rsid w:val="00715B2A"/>
    <w:rsid w:val="00733B21"/>
    <w:rsid w:val="007376A9"/>
    <w:rsid w:val="007450F1"/>
    <w:rsid w:val="00751515"/>
    <w:rsid w:val="007626B7"/>
    <w:rsid w:val="00765F0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1FAA"/>
    <w:rsid w:val="007E42DC"/>
    <w:rsid w:val="007E4668"/>
    <w:rsid w:val="007F54B9"/>
    <w:rsid w:val="00806A76"/>
    <w:rsid w:val="00811C9D"/>
    <w:rsid w:val="00816C80"/>
    <w:rsid w:val="0081797B"/>
    <w:rsid w:val="00823946"/>
    <w:rsid w:val="0082796A"/>
    <w:rsid w:val="0083707A"/>
    <w:rsid w:val="00840DCF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8E0485"/>
    <w:rsid w:val="008F786B"/>
    <w:rsid w:val="0090091A"/>
    <w:rsid w:val="0090373B"/>
    <w:rsid w:val="009042BD"/>
    <w:rsid w:val="00904FE4"/>
    <w:rsid w:val="00927740"/>
    <w:rsid w:val="00936159"/>
    <w:rsid w:val="00977E1D"/>
    <w:rsid w:val="009A32FE"/>
    <w:rsid w:val="009B0573"/>
    <w:rsid w:val="009B7B4B"/>
    <w:rsid w:val="009B7C21"/>
    <w:rsid w:val="009C303A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A79B7"/>
    <w:rsid w:val="00AC163B"/>
    <w:rsid w:val="00AC5CA7"/>
    <w:rsid w:val="00AC6058"/>
    <w:rsid w:val="00AE2BA5"/>
    <w:rsid w:val="00AE56B1"/>
    <w:rsid w:val="00AE6D09"/>
    <w:rsid w:val="00AF7A7C"/>
    <w:rsid w:val="00B02070"/>
    <w:rsid w:val="00B15036"/>
    <w:rsid w:val="00B26A8A"/>
    <w:rsid w:val="00B408B6"/>
    <w:rsid w:val="00B542DA"/>
    <w:rsid w:val="00B66B7D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3F4A"/>
    <w:rsid w:val="00C46548"/>
    <w:rsid w:val="00C574D5"/>
    <w:rsid w:val="00C73F32"/>
    <w:rsid w:val="00C87462"/>
    <w:rsid w:val="00CA180C"/>
    <w:rsid w:val="00CB22B2"/>
    <w:rsid w:val="00CB52A2"/>
    <w:rsid w:val="00CC3EE2"/>
    <w:rsid w:val="00CD6C0E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C7A13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A2311"/>
    <w:rsid w:val="00EC7BC3"/>
    <w:rsid w:val="00ED7600"/>
    <w:rsid w:val="00EF6073"/>
    <w:rsid w:val="00EF698B"/>
    <w:rsid w:val="00F1362C"/>
    <w:rsid w:val="00F36E0F"/>
    <w:rsid w:val="00F414F1"/>
    <w:rsid w:val="00F508B8"/>
    <w:rsid w:val="00F72CB1"/>
    <w:rsid w:val="00F8215E"/>
    <w:rsid w:val="00F824F5"/>
    <w:rsid w:val="00F82AD6"/>
    <w:rsid w:val="00F90FAB"/>
    <w:rsid w:val="00F9374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CF9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632DB1"/>
    <w:pPr>
      <w:tabs>
        <w:tab w:val="right" w:leader="dot" w:pos="9617"/>
      </w:tabs>
      <w:spacing w:after="100"/>
    </w:pPr>
    <w:rPr>
      <w:b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CB52A2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3824</Characters>
  <Application>Microsoft Office Word</Application>
  <DocSecurity>0</DocSecurity>
  <Lines>31</Lines>
  <Paragraphs>8</Paragraphs>
  <ScaleCrop>false</ScaleCrop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2025-02-07T15:18:00Z</dcterms:created>
  <dcterms:modified xsi:type="dcterms:W3CDTF">2025-02-07T15:18:00Z</dcterms:modified>
</cp:coreProperties>
</file>